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375" w:afterAutospacing="0" w:line="600" w:lineRule="atLeast"/>
        <w:ind w:left="0" w:right="0" w:firstLine="0"/>
        <w:jc w:val="left"/>
        <w:rPr>
          <w:rFonts w:ascii="黑体" w:hAnsi="黑体" w:eastAsia="黑体" w:cs="黑体"/>
          <w:i w:val="0"/>
          <w:caps w:val="0"/>
          <w:color w:val="000000"/>
          <w:spacing w:val="0"/>
          <w:sz w:val="45"/>
          <w:szCs w:val="45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5"/>
          <w:szCs w:val="45"/>
          <w:shd w:val="clear" w:fill="FFFFFF"/>
        </w:rPr>
        <w:t>企业所得税汇算清缴会计分录汇总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根据税法实施条例规定‚企业所得税按年计算‚分月或分季按月(季)预缴(一般是分季度预缴)，年终汇算清缴所得税的会计处理如下: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按月或按季计算应预缴所得额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　应交企业所得税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缴纳季度所得税时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借:应交税金-应交企业所得税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跨年4月30日前汇算清缴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全年应交所得税额减去已预缴税额‚正数是应补税额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贷:应交税金-应交企业所得税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缴纳年度汇算清应缴税款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借:应交税金--应交企业所得税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重新分配利润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借:利润分配-未分配利润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年度汇算清缴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如果计算出全年应纳所得税额少于已预缴税额: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借:应交税金-应交企业所得税(其他应收款--应收多缴所得税款)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重新分配利润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贷:利润分配-未分配利润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经税务机关审核批准退还多缴税款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贷:应交税金-应交企业所得税(其他应收款--应收多缴所得税款)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对多缴所得税额不办理退税，用以抵缴下年度预缴所得税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贷:应交税金-应交企业所得税(其他应收款--应收多缴所得税款)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</w:pPr>
      <w:r>
        <w:t>免税企业也要做分录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贷:应交税金--应交所得税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借:应交税金--应交所得税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贷:资本公积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涉及以前年度损益事项的调整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　　如果上年度年终结账后，于本年度发现上年度所得税计算有误，应通过损益科目'以前年度损益调整'进行会计处理。'以前年度损益调整'科目的借方发生额，反映企业以前年度多计收益、少计费用而调整的本年度损益数额；贷方发生额反映企业以前年度少计收益、多计费用而需调整的本年度损益数额。根据税法规定‚纳税人在纳税年度内应计未计、应提未提的扣除项目，在规定的纳税申报期后发现的‚不得转移以后年度补扣。但多计多提费用和支出，应予以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企业发现上年度多计多提费用、少计收益时，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编制会计分录：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借:利润分配--未分配利润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借:以前年度损益调整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贷:应交税金—应交所得税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举例说明: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　　假如某税务局在对某物资集团公司上年度财务进行检查时，发现支付新办公楼装修费用600000元，全部计入当年'管理费用'已知该集团公司所得税率为25%，税务局决定责令该公司按会计制度规定，对办公楼装修费用改作递延资产处理，分10年摊销。限期调整账务，同时计算补交少交的所得税款，并处以10000元罚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　　根据税务局的规定‚该公司应作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如下账务处理：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1.按会计制度规定‚装修费用应记入'递延资产'科目‚分10年摊销。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依此计算‚该公司上年度多计费用540000元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(600000-600000/10=540000)‚应予以调整: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借:递延资产办公楼装修 540000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货:以前年度损益调整 540000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2.由于多计管理费用从而使上年度少计利润540000元‚该公司上年度少交所得税135000元(540000×25%=135000)予以调整: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借:以前年度损益调整 135000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贷:应交税金-应交所得税 135000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3.交纳所得税时: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借:应交税金--应交所得税 135000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贷:银行存款 135000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4.交纳罚款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借:营业外支出 10000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贷:银行存款 10000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5.将'以前年度损益调整'余额转入'未分配利润'(540000-135000=405000)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借:以前年度损益调整 405000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贷:未分配利润 405000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6.假定法定公积金提取比率为10%‚公益金提取比率为5%.应调整上年度利润分配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借:未分配利润 60750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货:盈余公积法定公积金 40500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　盈余公积公益金 20250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27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PS:依据现行政策，对原文略有修正，仅供参考，如有异议，请与专管员核实。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来源：会计网论坛 会计老人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66ADF"/>
    <w:rsid w:val="63244F11"/>
    <w:rsid w:val="7DD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2020-05-02T02:18:48Z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