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0"/>
        <w:rPr>
          <w:rFonts w:ascii="微软雅黑" w:hAnsi="微软雅黑" w:eastAsia="微软雅黑" w:cs="微软雅黑"/>
          <w:b/>
          <w:i w:val="0"/>
          <w:caps w:val="0"/>
          <w:color w:val="222222"/>
          <w:spacing w:val="0"/>
          <w:sz w:val="51"/>
          <w:szCs w:val="5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51"/>
          <w:szCs w:val="51"/>
          <w:bdr w:val="none" w:color="auto" w:sz="0" w:space="0"/>
          <w:shd w:val="clear" w:fill="FFFFFF"/>
        </w:rPr>
        <w:t>企业如何抄税报税？超详细实操资料+注意事项！会计速收</w:t>
      </w:r>
    </w:p>
    <w:p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今天为大家分享的是办税厅抄报与远程抄报管理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096000" cy="3438525"/>
            <wp:effectExtent l="0" t="0" r="0" b="9525"/>
            <wp:docPr id="8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一、办税厅抄报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主要功能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：进行征期抄税和非征期抄税。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"抄税处理"功能可将金税盘中的各种发票明细与汇总数据抄到本机报税盘（金税盘）上，为报税系统提供报税的电子数据。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1.抄报流程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096000" cy="3419475"/>
            <wp:effectExtent l="0" t="0" r="0" b="9525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图一：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848100" cy="2733675"/>
            <wp:effectExtent l="0" t="0" r="0" b="9525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2.抄报成功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096000" cy="3438525"/>
            <wp:effectExtent l="0" t="0" r="0" b="9525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图二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096000" cy="2971800"/>
            <wp:effectExtent l="0" t="0" r="0" b="0"/>
            <wp:docPr id="7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二、抄税时需注意事项：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096000" cy="3429000"/>
            <wp:effectExtent l="0" t="0" r="0" b="0"/>
            <wp:docPr id="5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三、远程抄报管理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主要功能：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企业可以利用此功能通过网络报税并在网上清卡。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1.报税流程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096000" cy="3429000"/>
            <wp:effectExtent l="0" t="0" r="0" b="0"/>
            <wp:docPr id="1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2.上传报税数据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096000" cy="3429000"/>
            <wp:effectExtent l="0" t="0" r="0" b="0"/>
            <wp:docPr id="6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3.完成报税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096000" cy="3438525"/>
            <wp:effectExtent l="0" t="0" r="0" b="9525"/>
            <wp:docPr id="9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远程报税注意事项：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1.必须保证授权票种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均未进行征期报税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2.远程抄报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不支持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非征期抄报。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3.远程抄报前必须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确保所有离线开具的发票已上传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，否则系统给出错误提示。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FC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81258</dc:creator>
  <cp:lastModifiedBy>芬 - Shelly</cp:lastModifiedBy>
  <dcterms:modified xsi:type="dcterms:W3CDTF">2020-05-18T08:13:02Z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