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0" w:beforeAutospacing="0" w:after="0" w:afterAutospacing="0"/>
        <w:ind w:left="0" w:right="0" w:firstLine="0"/>
        <w:jc w:val="center"/>
        <w:rPr>
          <w:rFonts w:hint="default" w:ascii="隶书" w:hAnsi="隶书" w:eastAsia="隶书" w:cs="隶书"/>
          <w:i w:val="0"/>
          <w:caps w:val="0"/>
          <w:color w:val="343434"/>
          <w:spacing w:val="0"/>
          <w:sz w:val="44"/>
          <w:szCs w:val="44"/>
          <w:highlight w:val="yellow"/>
        </w:rPr>
      </w:pPr>
      <w:r>
        <w:rPr>
          <w:rFonts w:hint="default" w:ascii="隶书" w:hAnsi="隶书" w:eastAsia="隶书" w:cs="隶书"/>
          <w:i w:val="0"/>
          <w:caps w:val="0"/>
          <w:color w:val="343434"/>
          <w:spacing w:val="0"/>
          <w:kern w:val="0"/>
          <w:sz w:val="44"/>
          <w:szCs w:val="44"/>
          <w:highlight w:val="yellow"/>
          <w:bdr w:val="none" w:color="auto" w:sz="0" w:space="0"/>
          <w:shd w:val="clear" w:fill="F5F6EE"/>
          <w:lang w:val="en-US" w:eastAsia="zh-CN" w:bidi="ar"/>
        </w:rPr>
        <w:t>会计实操分录大全汇总——建筑行业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购入、领用工程物资如何记账？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（1）企业购入为工程准备的物资，应按实际成本和专用发票上注明的增值税额，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借：工程物资——专用材料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——专用设备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贷：银行存款/应付账款/应付票据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（2）工程领用工程物资时，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贷：工程物资——专用材料等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工程完工后对领出的剩余工程物资应当办理退库手续，并作相反的会计分录，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借：工程物资——专用材料等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贷：在建工程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2.发包工程的有关账务如何处理？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（1）企业发包的基建工程，应于按合同规定向承包企业预付工程款、备料款时，按实际支付的价款，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借：在建工程——建筑工程、安装工程（××工程）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贷：银行存款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（2）以拨付给承包企业的材料抵作预付备料款的，按工程物资的实际成本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借：在建工程——建筑工程、安装工程（××工程）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贷：工程物资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（3）将需要安装设备交付承包企业进行安装时，应按设备的成本，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借：在建工程——在安装设备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贷：工程物资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（4）与承包企业办理工程价款结算时，补付的工程款，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借：在建工程——建筑工程、安装工程（××工程）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贷：银行存款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应付账款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3.自营工程的有关账务如何处理？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（1）企业自营的基建工程，领用工程用材料物资时，应按实际成本，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借：在建工程——建筑工程、安装工程（××工程）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贷：工程物资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（2）基建工程领用本企业原材料的，应按原材料的实际成本加上不能抵扣的增值税进项税额，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借：在建工程——建筑工程、安装工程（××工程）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贷：原材料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应交税金——应交增值税（进项税额转出）（不能抵扣的增值税进项税额）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（注：采用计划成本进行材料日常核算的企业，还应当分摊材料成本差异。）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（3）基建工程领用本企业的商品产品时，按商品产品的实际成本（或进价）或计划成本（或售价）加上应交的相关税费，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借：在建工程——建筑工程、安装工程（××工程），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贷：应交税金——应交增值税（销项税额）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库存商品（库存商品的实际成本或进价，或计划成本或售价）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（注：库存商品采用计划成本或售价的企业，还应当分摊成本差异或商品进销差价。）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（4）基建工程应负担的职工工资，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借：在建工程——建筑工程、安装工程（××工程）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贷：应付工资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（5）企业的辅助生产部门为工程提供的水、电、设备安装、修理、运输等劳务，应按月根据实际成本，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借：在建工程——建筑工程、安装工程（××工程）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贷：生产成本——辅助生产成本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4.基建工程发生的工程管理费、征地费、可行性研究费、临时设施费、公证费、监理费等如何记账？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借：在建工程——其他支出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贷：银行存款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5.收入的账务处理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（1）收到预付工程款时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借：银行存款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贷：预收账款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应缴税费-应缴增值税-销项税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（2）工程完工结算时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借：预收账款/应收账款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贷：工程结算收入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（3）结转收入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借：主营业务收入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贷：主营业务成本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管理费用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销售费用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财务费用等等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借或贷：本年利润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6.成本的账务处理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（1）发生的合同成本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借：工程施工—合同成本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应交税费—应交增值税（进项税额）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贷：银行存款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（2）发生的材料费用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借：管理费用/原材料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应交税费—应交增值税（进项税额）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贷：银行存款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（3）支付人工费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借：工程施工--人工费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贷：现金（或应付工资等）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（4）发生的机械费用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借：工程施工--机械使用费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应交税费—应交增值税（进项税额）（指的租赁）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贷：银行存款（或累计折旧等）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（5）发生的其他直接费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借：工程施工--其他直接费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贷：银行存款（或现金等）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（6）月末确认收入和成本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借：主营业务成本（按当期确认的合同成本）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工程施工——合同毛利 （倒挤）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贷：主营业务收入（按当期确认的工程结算收入）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（7）工程完工决算后，应将“工程结算”科目与“工程施工”科目冲抵，冲抵后“工程施工”科目与“工程结算”科目余额均为零。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施工企业合同完工并结清工程施工和工程结算账户时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借：工程结算（按账面累计余额）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贷：工程施工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7.税费账务处理（鉴于小规模纳税人账务处理与一般纳税人简易计税处理较为简单，这里就只讲一般纳税人一般计税时的情况）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（1）月末结转增值税（一般纳税人一般计税）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借：应交税费—转出未交增值税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贷：应交税费-预缴增值税（按2%预缴）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应交税费-未交增值税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（2）下月缴纳增值税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借：应交税费-未交增值税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贷：银行存款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（3）某项目同时缴纳印花税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先计提：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借：税金及附加（也可以做到明细某某税）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贷：应交税费——城市建设维护税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应交税费——地方教育附加税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应交税费——教育附加税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然后再做支付分录：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借：应交税费——城市建设维护税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应交税费——地方教育附加税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应交税费——教育附加税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62" w:lineRule="atLeast"/>
        <w:ind w:left="0" w:right="0" w:firstLine="0"/>
        <w:jc w:val="left"/>
        <w:rPr>
          <w:rFonts w:hint="default" w:ascii="隶书" w:hAnsi="隶书" w:eastAsia="隶书" w:cs="隶书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隶书" w:hAnsi="隶书" w:eastAsia="隶书" w:cs="隶书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5F6EE"/>
          <w:lang w:val="en-US" w:eastAsia="zh-CN" w:bidi="ar"/>
        </w:rPr>
        <w:t>贷：银行存款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3296"/>
    <w:multiLevelType w:val="singleLevel"/>
    <w:tmpl w:val="07CE32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C1628"/>
    <w:rsid w:val="49C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2019-05-16T08:50:00Z</dcterms:created>
  <dc:creator>常常常</dc:creator>
  <cp:lastModifiedBy>常常常</cp:lastModifiedBy>
  <dcterms:modified xsi:type="dcterms:W3CDTF">2019-05-16T08:52:13Z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