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hint="eastAsia" w:ascii="微软雅黑" w:hAnsi="微软雅黑" w:eastAsia="微软雅黑" w:cs="微软雅黑"/>
          <w:b/>
          <w:bCs w:val="0"/>
          <w:color w:val="FF0000"/>
          <w:sz w:val="22"/>
          <w:szCs w:val="28"/>
        </w:rPr>
      </w:pPr>
      <w:r>
        <w:rPr>
          <w:rStyle w:val="7"/>
          <w:rFonts w:hint="eastAsia" w:ascii="微软雅黑" w:hAnsi="微软雅黑" w:eastAsia="微软雅黑" w:cs="微软雅黑"/>
          <w:b/>
          <w:bCs w:val="0"/>
          <w:color w:val="FF0000"/>
          <w:kern w:val="0"/>
          <w:sz w:val="28"/>
          <w:szCs w:val="28"/>
          <w:lang w:val="en-US" w:eastAsia="zh-CN" w:bidi="ar"/>
        </w:rPr>
        <w:t>01增值税，又变了！7月1日起正式执行！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val="0"/>
          <w:sz w:val="28"/>
          <w:szCs w:val="28"/>
        </w:rPr>
      </w:pPr>
    </w:p>
    <w:p>
      <w:pPr>
        <w:keepNext w:val="0"/>
        <w:keepLines w:val="0"/>
        <w:widowControl/>
        <w:suppressLineNumbers w:val="0"/>
        <w:jc w:val="left"/>
        <w:rPr>
          <w:b/>
          <w:bCs w:val="0"/>
          <w:sz w:val="22"/>
          <w:szCs w:val="28"/>
        </w:rPr>
      </w:pPr>
      <w:r>
        <w:rPr>
          <w:rFonts w:ascii="宋体" w:hAnsi="宋体" w:eastAsia="宋体" w:cs="宋体"/>
          <w:b/>
          <w:bCs w:val="0"/>
          <w:kern w:val="0"/>
          <w:sz w:val="28"/>
          <w:szCs w:val="28"/>
          <w:bdr w:val="single" w:color="979899" w:sz="6" w:space="0"/>
          <w:shd w:val="clear" w:fill="FFFFFF"/>
          <w:lang w:val="en-US" w:eastAsia="zh-CN" w:bidi="ar"/>
        </w:rPr>
        <w:drawing>
          <wp:inline distT="0" distB="0" distL="114300" distR="114300">
            <wp:extent cx="6117590" cy="2536190"/>
            <wp:effectExtent l="0" t="0" r="16510" b="1651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6117590" cy="253619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2"/>
          <w:szCs w:val="28"/>
        </w:rPr>
      </w:pPr>
      <w:r>
        <w:rPr>
          <w:rStyle w:val="7"/>
          <w:b/>
          <w:bCs w:val="0"/>
          <w:spacing w:val="23"/>
          <w:sz w:val="24"/>
          <w:szCs w:val="24"/>
        </w:rPr>
        <w:t>划重点：</w:t>
      </w:r>
      <w:r>
        <w:rPr>
          <w:rFonts w:ascii="宋体" w:hAnsi="宋体" w:eastAsia="宋体" w:cs="宋体"/>
          <w:b/>
          <w:bCs w:val="0"/>
          <w:kern w:val="0"/>
          <w:sz w:val="28"/>
          <w:szCs w:val="28"/>
          <w:lang w:val="en-US" w:eastAsia="zh-CN" w:bidi="ar"/>
        </w:rPr>
        <w:br w:type="textWrapping"/>
      </w:r>
      <w:r>
        <w:rPr>
          <w:rFonts w:ascii="宋体" w:hAnsi="宋体" w:eastAsia="宋体" w:cs="宋体"/>
          <w:b/>
          <w:bCs w:val="0"/>
          <w:kern w:val="0"/>
          <w:sz w:val="28"/>
          <w:szCs w:val="28"/>
          <w:lang w:val="en-US" w:eastAsia="zh-CN" w:bidi="ar"/>
        </w:rPr>
        <w:t>01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ascii="Helvetica" w:hAnsi="Helvetica" w:eastAsia="Helvetica" w:cs="Helvetica"/>
          <w:b/>
          <w:bCs w:val="0"/>
          <w:color w:val="000000"/>
          <w:spacing w:val="23"/>
          <w:sz w:val="22"/>
          <w:szCs w:val="22"/>
        </w:rPr>
        <w:t>一、</w:t>
      </w:r>
      <w:r>
        <w:rPr>
          <w:rFonts w:hint="default" w:ascii="Helvetica" w:hAnsi="Helvetica" w:eastAsia="Helvetica" w:cs="Helvetica"/>
          <w:b/>
          <w:bCs w:val="0"/>
          <w:color w:val="366092"/>
          <w:spacing w:val="23"/>
          <w:sz w:val="22"/>
          <w:szCs w:val="22"/>
        </w:rPr>
        <w:t>扩大全额退还增值税留抵税额政策行业范围</w:t>
      </w:r>
      <w:r>
        <w:rPr>
          <w:rFonts w:hint="default" w:ascii="Helvetica" w:hAnsi="Helvetica" w:eastAsia="Helvetica" w:cs="Helvetica"/>
          <w:b/>
          <w:bCs w:val="0"/>
          <w:color w:val="000000"/>
          <w:spacing w:val="23"/>
          <w:sz w:val="22"/>
          <w:szCs w:val="22"/>
        </w:rPr>
        <w:t>，将《财政部 税务总局关于进一步加大增值税期末留抵退税政策实施力度的公告》第二条规定的制造业等行业留抵退税范围扩大至</w:t>
      </w:r>
      <w:r>
        <w:rPr>
          <w:rFonts w:hint="default" w:ascii="Helvetica" w:hAnsi="Helvetica" w:eastAsia="Helvetica" w:cs="Helvetica"/>
          <w:b/>
          <w:bCs w:val="0"/>
          <w:color w:val="366092"/>
          <w:spacing w:val="23"/>
          <w:sz w:val="22"/>
          <w:szCs w:val="22"/>
        </w:rPr>
        <w:t>“批发和零售业”、“农、林、牧、渔业”、“住宿和餐饮业”、“居民服务、修理和其他服务业”、“教育”、“卫生和社会工作”和“文化、体育和娱乐业”（以下称批发零售业等行业）企业（含个体工商户，下同）。</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符合条件的批发零售业等行业企业，可以自2022年7月纳税申报期起向主管税务机关申请退还增量留抵税额和一次性退还存量留抵退税。</w:t>
      </w:r>
    </w:p>
    <w:p>
      <w:pPr>
        <w:keepNext w:val="0"/>
        <w:keepLines w:val="0"/>
        <w:widowControl/>
        <w:suppressLineNumbers w:val="0"/>
        <w:jc w:val="left"/>
        <w:rPr>
          <w:b/>
          <w:bCs w:val="0"/>
          <w:sz w:val="22"/>
          <w:szCs w:val="28"/>
        </w:rPr>
      </w:pPr>
      <w:r>
        <w:rPr>
          <w:rFonts w:ascii="宋体" w:hAnsi="宋体" w:eastAsia="宋体" w:cs="宋体"/>
          <w:b/>
          <w:bCs w:val="0"/>
          <w:kern w:val="0"/>
          <w:sz w:val="28"/>
          <w:szCs w:val="28"/>
          <w:lang w:val="en-US" w:eastAsia="zh-CN" w:bidi="ar"/>
        </w:rPr>
        <w:t>02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二、2022年第14号公告和本公告所称制造业、批发零售业等行业企业，是指从事《国民经济行业分类》中</w:t>
      </w:r>
      <w:r>
        <w:rPr>
          <w:rFonts w:hint="default" w:ascii="Helvetica" w:hAnsi="Helvetica" w:eastAsia="Helvetica" w:cs="Helvetica"/>
          <w:b/>
          <w:bCs w:val="0"/>
          <w:color w:val="366092"/>
          <w:spacing w:val="23"/>
          <w:sz w:val="22"/>
          <w:szCs w:val="22"/>
        </w:rPr>
        <w:t>“批发和零售业”、“农、林、牧、渔业”、“住宿和餐饮业”、“居民服务、修理和其他服务业”、“教育”、“卫生和社会工作”、“文化、体育和娱乐业”、“制造业”、“科学研究和技术服务业”、“电力、热力、燃气及水生产和供应业”、“软件和信息技术服务业”、“生态保护和环境治理业”和“交通运输、仓储和邮政业”</w:t>
      </w:r>
      <w:r>
        <w:rPr>
          <w:rFonts w:hint="default" w:ascii="Helvetica" w:hAnsi="Helvetica" w:eastAsia="Helvetica" w:cs="Helvetica"/>
          <w:b/>
          <w:bCs w:val="0"/>
          <w:color w:val="000000"/>
          <w:spacing w:val="23"/>
          <w:sz w:val="22"/>
          <w:szCs w:val="22"/>
        </w:rPr>
        <w:t>业务相应发生的增值税销售额占全部增值税销售额的比重超过50%的纳税人。</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上述销售额比重根据纳税人申请退税前连续12个月的销售额计算确定；申请退税前经营期不满12个月但满3个月的，按照实际经营期的销售额计算确定。</w:t>
      </w:r>
    </w:p>
    <w:p>
      <w:pPr>
        <w:keepNext w:val="0"/>
        <w:keepLines w:val="0"/>
        <w:widowControl/>
        <w:suppressLineNumbers w:val="0"/>
        <w:jc w:val="left"/>
        <w:rPr>
          <w:b/>
          <w:bCs w:val="0"/>
          <w:sz w:val="22"/>
          <w:szCs w:val="28"/>
        </w:rPr>
      </w:pPr>
      <w:r>
        <w:rPr>
          <w:rFonts w:ascii="宋体" w:hAnsi="宋体" w:eastAsia="宋体" w:cs="宋体"/>
          <w:b/>
          <w:bCs w:val="0"/>
          <w:kern w:val="0"/>
          <w:sz w:val="28"/>
          <w:szCs w:val="28"/>
          <w:lang w:val="en-US" w:eastAsia="zh-CN" w:bidi="ar"/>
        </w:rPr>
        <w:t>03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rPr>
          <w:b/>
          <w:bCs w:val="0"/>
          <w:sz w:val="28"/>
          <w:szCs w:val="28"/>
        </w:rPr>
      </w:pPr>
      <w:r>
        <w:rPr>
          <w:rFonts w:hint="default" w:ascii="Helvetica" w:hAnsi="Helvetica" w:eastAsia="Helvetica" w:cs="Helvetica"/>
          <w:b/>
          <w:bCs w:val="0"/>
          <w:color w:val="000000"/>
          <w:spacing w:val="23"/>
          <w:sz w:val="22"/>
          <w:szCs w:val="22"/>
        </w:rPr>
        <w:t>三、按照2022年第14号公告第六条规定适用《中小企业划型标准规定》（工信部联企业〔2011〕300号）和《金融业企业划型标准规定》（银发〔2015〕309号）时，纳税人的行业归属，根据《国民经济行业分类》关于以主要经济活动确定行业归属的原则，以上一会计年度从事《国民经济行业分类》对应业务增值税销售额占全部增值税销售额比重最高的行业确定。</w:t>
      </w:r>
    </w:p>
    <w:p>
      <w:pPr>
        <w:keepNext w:val="0"/>
        <w:keepLines w:val="0"/>
        <w:widowControl/>
        <w:suppressLineNumbers w:val="0"/>
        <w:jc w:val="left"/>
        <w:rPr>
          <w:b/>
          <w:bCs w:val="0"/>
          <w:sz w:val="22"/>
          <w:szCs w:val="28"/>
        </w:rPr>
      </w:pPr>
      <w:r>
        <w:rPr>
          <w:rFonts w:ascii="宋体" w:hAnsi="宋体" w:eastAsia="宋体" w:cs="宋体"/>
          <w:b/>
          <w:bCs w:val="0"/>
          <w:kern w:val="0"/>
          <w:sz w:val="28"/>
          <w:szCs w:val="28"/>
          <w:lang w:val="en-US" w:eastAsia="zh-CN" w:bidi="ar"/>
        </w:rPr>
        <w:t>04</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rPr>
          <w:b/>
          <w:bCs w:val="0"/>
          <w:sz w:val="28"/>
          <w:szCs w:val="28"/>
        </w:rPr>
      </w:pPr>
      <w:r>
        <w:rPr>
          <w:rFonts w:hint="default" w:ascii="Helvetica" w:hAnsi="Helvetica" w:eastAsia="Helvetica" w:cs="Helvetica"/>
          <w:b/>
          <w:bCs w:val="0"/>
          <w:color w:val="366092"/>
          <w:spacing w:val="23"/>
          <w:sz w:val="22"/>
          <w:szCs w:val="22"/>
        </w:rPr>
        <w:t>四、制造业、批发零售业等行业企业申请留抵退税的其他规定，继续按照2022年第14号公告等有关规定执行。</w:t>
      </w:r>
    </w:p>
    <w:p>
      <w:pPr>
        <w:keepNext w:val="0"/>
        <w:keepLines w:val="0"/>
        <w:widowControl/>
        <w:suppressLineNumbers w:val="0"/>
        <w:jc w:val="left"/>
        <w:rPr>
          <w:b/>
          <w:bCs w:val="0"/>
          <w:sz w:val="22"/>
          <w:szCs w:val="28"/>
        </w:rPr>
      </w:pPr>
      <w:r>
        <w:rPr>
          <w:rFonts w:ascii="宋体" w:hAnsi="宋体" w:eastAsia="宋体" w:cs="宋体"/>
          <w:b/>
          <w:bCs w:val="0"/>
          <w:kern w:val="0"/>
          <w:sz w:val="28"/>
          <w:szCs w:val="28"/>
          <w:lang w:val="en-US" w:eastAsia="zh-CN" w:bidi="ar"/>
        </w:rPr>
        <w:t>05</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366092"/>
          <w:spacing w:val="23"/>
          <w:sz w:val="22"/>
          <w:szCs w:val="22"/>
        </w:rPr>
        <w:t>五、本公告第一条和第二条自2022年7月1日起执行；第三条自公告发布之日起执行。</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同时，国家税务总局还发布了国家税务总局公告2022年第11号，明确了相关征管事项：</w:t>
      </w:r>
    </w:p>
    <w:p>
      <w:pPr>
        <w:keepNext w:val="0"/>
        <w:keepLines w:val="0"/>
        <w:widowControl/>
        <w:suppressLineNumbers w:val="0"/>
        <w:jc w:val="left"/>
        <w:rPr>
          <w:b/>
          <w:bCs w:val="0"/>
          <w:sz w:val="22"/>
          <w:szCs w:val="28"/>
        </w:rPr>
      </w:pPr>
      <w:r>
        <w:rPr>
          <w:rFonts w:ascii="宋体" w:hAnsi="宋体" w:eastAsia="宋体" w:cs="宋体"/>
          <w:b/>
          <w:bCs w:val="0"/>
          <w:kern w:val="0"/>
          <w:sz w:val="28"/>
          <w:szCs w:val="28"/>
          <w:bdr w:val="single" w:color="EEEDEB" w:sz="6" w:space="0"/>
          <w:shd w:val="clear" w:fill="EEEDEB"/>
          <w:lang w:val="en-US" w:eastAsia="zh-CN" w:bidi="ar"/>
        </w:rPr>
        <w:drawing>
          <wp:inline distT="0" distB="0" distL="114300" distR="114300">
            <wp:extent cx="4984750" cy="2941955"/>
            <wp:effectExtent l="0" t="0" r="6350" b="1079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4984750" cy="294195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符合21号公告规定的纳税人申请退还留抵税额，应按照《国家税务总局关于办理增值税期末留抵税额退税有关事项的公告》（2019年第20号）和《国家税务总局关于进一步加大增值税期末留抵退税政策实施力度有关征管事项的公告》（2022年第4号）等规定办理相关留抵退税业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val="0"/>
          <w:sz w:val="28"/>
          <w:szCs w:val="28"/>
        </w:rPr>
      </w:pPr>
    </w:p>
    <w:p>
      <w:pPr>
        <w:keepNext w:val="0"/>
        <w:keepLines w:val="0"/>
        <w:widowControl/>
        <w:suppressLineNumbers w:val="0"/>
        <w:jc w:val="left"/>
        <w:rPr>
          <w:rStyle w:val="7"/>
          <w:rFonts w:hint="eastAsia" w:ascii="微软雅黑" w:hAnsi="微软雅黑" w:eastAsia="微软雅黑" w:cs="微软雅黑"/>
          <w:b/>
          <w:bCs w:val="0"/>
          <w:color w:val="FF0000"/>
          <w:kern w:val="0"/>
          <w:sz w:val="28"/>
          <w:szCs w:val="28"/>
          <w:lang w:val="en-US" w:eastAsia="zh-CN" w:bidi="ar"/>
        </w:rPr>
      </w:pPr>
      <w:r>
        <w:rPr>
          <w:rStyle w:val="7"/>
          <w:rFonts w:hint="eastAsia" w:ascii="微软雅黑" w:hAnsi="微软雅黑" w:eastAsia="微软雅黑" w:cs="微软雅黑"/>
          <w:b/>
          <w:bCs w:val="0"/>
          <w:color w:val="FF0000"/>
          <w:kern w:val="0"/>
          <w:sz w:val="28"/>
          <w:szCs w:val="28"/>
          <w:lang w:val="en-US" w:eastAsia="zh-CN" w:bidi="ar"/>
        </w:rPr>
        <w:t>02增值税最新税率表（2022年6月更新）</w:t>
      </w:r>
      <w:r>
        <w:rPr>
          <w:rStyle w:val="7"/>
          <w:rFonts w:hint="default" w:ascii="微软雅黑" w:hAnsi="微软雅黑" w:eastAsia="微软雅黑" w:cs="微软雅黑"/>
          <w:b/>
          <w:bCs w:val="0"/>
          <w:color w:val="FF0000"/>
          <w:kern w:val="0"/>
          <w:sz w:val="28"/>
          <w:szCs w:val="28"/>
          <w:lang w:val="en-US" w:eastAsia="zh-CN" w:bidi="ar"/>
        </w:rPr>
        <w:t>1、增值税税率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一般纳税人增值税税率：13%，9%，6%，0%，都适用于哪些项目？我们具体来看：</w:t>
      </w:r>
    </w:p>
    <w:p>
      <w:pPr>
        <w:keepNext w:val="0"/>
        <w:keepLines w:val="0"/>
        <w:widowControl/>
        <w:suppressLineNumbers w:val="0"/>
        <w:jc w:val="left"/>
        <w:rPr>
          <w:rFonts w:ascii="宋体" w:hAnsi="宋体" w:eastAsia="宋体" w:cs="宋体"/>
          <w:b/>
          <w:bCs w:val="0"/>
          <w:kern w:val="0"/>
          <w:sz w:val="28"/>
          <w:szCs w:val="28"/>
          <w:lang w:val="en-US" w:eastAsia="zh-CN" w:bidi="ar"/>
        </w:rPr>
      </w:pPr>
      <w:r>
        <w:rPr>
          <w:rFonts w:ascii="宋体" w:hAnsi="宋体" w:eastAsia="宋体" w:cs="宋体"/>
          <w:b/>
          <w:bCs w:val="0"/>
          <w:kern w:val="0"/>
          <w:sz w:val="28"/>
          <w:szCs w:val="28"/>
          <w:bdr w:val="single" w:color="EEEDEB" w:sz="6" w:space="0"/>
          <w:shd w:val="clear" w:fill="EEEDEB"/>
          <w:lang w:val="en-US" w:eastAsia="zh-CN" w:bidi="ar"/>
        </w:rPr>
        <w:drawing>
          <wp:inline distT="0" distB="0" distL="114300" distR="114300">
            <wp:extent cx="3044825" cy="10930890"/>
            <wp:effectExtent l="0" t="0" r="3175" b="381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rcRect/>
                    <a:stretch>
                      <a:fillRect/>
                    </a:stretch>
                  </pic:blipFill>
                  <pic:spPr>
                    <a:xfrm>
                      <a:off x="0" y="0"/>
                      <a:ext cx="3044825" cy="10930890"/>
                    </a:xfrm>
                    <a:prstGeom prst="rect">
                      <a:avLst/>
                    </a:prstGeom>
                    <a:noFill/>
                    <a:ln w="9525">
                      <a:noFill/>
                    </a:ln>
                  </pic:spPr>
                </pic:pic>
              </a:graphicData>
            </a:graphic>
          </wp:inline>
        </w:drawing>
      </w:r>
      <w:bookmarkStart w:id="0" w:name="_GoBack"/>
      <w:bookmarkEnd w:id="0"/>
      <w:r>
        <w:rPr>
          <w:rFonts w:ascii="宋体" w:hAnsi="宋体" w:eastAsia="宋体" w:cs="宋体"/>
          <w:b/>
          <w:bCs w:val="0"/>
          <w:kern w:val="0"/>
          <w:sz w:val="28"/>
          <w:szCs w:val="28"/>
          <w:lang w:val="en-US" w:eastAsia="zh-CN" w:bidi="ar"/>
        </w:rPr>
        <w:br w:type="textWrapping"/>
      </w:r>
    </w:p>
    <w:p>
      <w:pPr>
        <w:keepNext w:val="0"/>
        <w:keepLines w:val="0"/>
        <w:widowControl/>
        <w:suppressLineNumbers w:val="0"/>
        <w:jc w:val="left"/>
        <w:rPr>
          <w:b/>
          <w:bCs w:val="0"/>
          <w:sz w:val="22"/>
          <w:szCs w:val="28"/>
        </w:rPr>
      </w:pPr>
      <w:r>
        <w:rPr>
          <w:rStyle w:val="7"/>
          <w:rFonts w:hint="default" w:ascii="Helvetica" w:hAnsi="Helvetica" w:eastAsia="Helvetica" w:cs="Helvetica"/>
          <w:b/>
          <w:bCs w:val="0"/>
          <w:color w:val="000000"/>
          <w:spacing w:val="23"/>
          <w:kern w:val="0"/>
          <w:sz w:val="24"/>
          <w:szCs w:val="24"/>
          <w:lang w:val="en-US" w:eastAsia="zh-CN" w:bidi="ar"/>
        </w:rPr>
        <w:t>2、扣除率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扣除率是指增值税计征中法定扣除项目金额与产品课税金额之间的比例。</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一般纳税人凭票抵扣进项税，但是对于购进农产品需要计算抵扣，扣除率有的是9%，有的是10%，我们具体来看：</w:t>
      </w:r>
    </w:p>
    <w:p>
      <w:pPr>
        <w:keepNext w:val="0"/>
        <w:keepLines w:val="0"/>
        <w:widowControl/>
        <w:suppressLineNumbers w:val="0"/>
        <w:jc w:val="left"/>
        <w:rPr>
          <w:b/>
          <w:bCs w:val="0"/>
          <w:sz w:val="22"/>
          <w:szCs w:val="28"/>
        </w:rPr>
      </w:pPr>
      <w:r>
        <w:rPr>
          <w:rFonts w:ascii="Arial" w:hAnsi="Arial" w:eastAsia="Arial" w:cs="Arial"/>
          <w:b/>
          <w:bCs w:val="0"/>
          <w:spacing w:val="8"/>
          <w:kern w:val="0"/>
          <w:sz w:val="28"/>
          <w:szCs w:val="28"/>
          <w:bdr w:val="single" w:color="EEEDEB" w:sz="6" w:space="0"/>
          <w:shd w:val="clear" w:fill="EEEDEB"/>
          <w:lang w:val="en-US" w:eastAsia="zh-CN" w:bidi="ar"/>
        </w:rPr>
        <w:drawing>
          <wp:inline distT="0" distB="0" distL="114300" distR="114300">
            <wp:extent cx="4994910" cy="1667510"/>
            <wp:effectExtent l="0" t="0" r="15240" b="889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4994910" cy="166751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①从按照简易计税方法依照3%征收率计算缴纳增值税的小规模纳税人取得增值税专用发票的，以增值税专用发票上注明的金额和9%的扣除率计算进项税额；</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②取得（开具）农产品销售发票或收购发票的，以农产品销售发票或收购发票上注明的农产品买价和9%的扣除率计算进项税额。</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③纳税人购进用于生产销售或委托受托加工13%税率货物的农产品，按照10%的扣除率计算进项税率。</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④纳税人购进农产品既用于生产销售或委托受托加工13%税率货物又用于生产销售其他货物服务的，应当分别核算用于生产销售或委托受托加工13%税率货物和其他货物服务的农产品进项税额。未分别核算的，统一以增值税专用发票或海关进口增值税专用缴款书上注明的增值税额为进项税额，或以农产品收购发票或销售发票上注明的农产品买价和9%的扣除率计算进项税额。</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⑤农产品核定扣除时：</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o以农产品为原料生产货物，扣除率为销售货物的适用税率。</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o购进农产品用于生产经营且不构成货物实体的（包装物、辅助材料、燃料、低值易耗品）：最终货物税率为9%时扣除率为9%；最终货物税率为13%，扣除率为10%。</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o购进农产品直接销售时，扣除率为9%。</w:t>
      </w:r>
    </w:p>
    <w:p>
      <w:pPr>
        <w:keepNext w:val="0"/>
        <w:keepLines w:val="0"/>
        <w:widowControl/>
        <w:suppressLineNumbers w:val="0"/>
        <w:jc w:val="left"/>
        <w:rPr>
          <w:b/>
          <w:bCs w:val="0"/>
          <w:sz w:val="22"/>
          <w:szCs w:val="28"/>
        </w:rPr>
      </w:pPr>
      <w:r>
        <w:rPr>
          <w:rFonts w:ascii="宋体" w:hAnsi="宋体" w:eastAsia="宋体" w:cs="宋体"/>
          <w:b/>
          <w:bCs w:val="0"/>
          <w:kern w:val="0"/>
          <w:sz w:val="28"/>
          <w:szCs w:val="28"/>
          <w:lang w:val="en-US" w:eastAsia="zh-CN" w:bidi="ar"/>
        </w:rPr>
        <w:br w:type="textWrapping"/>
      </w:r>
      <w:r>
        <w:rPr>
          <w:rStyle w:val="7"/>
          <w:rFonts w:hint="default" w:ascii="Helvetica" w:hAnsi="Helvetica" w:eastAsia="Helvetica" w:cs="Helvetica"/>
          <w:b/>
          <w:bCs w:val="0"/>
          <w:color w:val="000000"/>
          <w:spacing w:val="23"/>
          <w:kern w:val="0"/>
          <w:sz w:val="24"/>
          <w:szCs w:val="24"/>
          <w:lang w:val="en-US" w:eastAsia="zh-CN" w:bidi="ar"/>
        </w:rPr>
        <w:t>3、征收率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增值税小规模纳税人以及采用简易计税的一般纳税人计算税款时使用征收率，目前增值税征收率一共有4档，0.5%，1%，3%和5%，一般是3%，除了财政部和国家税务总局另有规定的。</w:t>
      </w:r>
    </w:p>
    <w:p>
      <w:pPr>
        <w:keepNext w:val="0"/>
        <w:keepLines w:val="0"/>
        <w:widowControl/>
        <w:suppressLineNumbers w:val="0"/>
        <w:jc w:val="left"/>
        <w:rPr>
          <w:b/>
          <w:bCs w:val="0"/>
          <w:sz w:val="22"/>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注意：自2022年4月1日至2022年12月31日，增值税小规模纳税人适用3%征收率的应税销售收入，免征增值税。</w:t>
      </w:r>
    </w:p>
    <w:p>
      <w:pPr>
        <w:keepNext w:val="0"/>
        <w:keepLines w:val="0"/>
        <w:widowControl/>
        <w:suppressLineNumbers w:val="0"/>
        <w:jc w:val="left"/>
        <w:rPr>
          <w:b/>
          <w:bCs w:val="0"/>
          <w:sz w:val="22"/>
          <w:szCs w:val="28"/>
        </w:rPr>
      </w:pPr>
      <w:r>
        <w:rPr>
          <w:rFonts w:ascii="宋体" w:hAnsi="宋体" w:eastAsia="宋体" w:cs="宋体"/>
          <w:b/>
          <w:bCs w:val="0"/>
          <w:kern w:val="0"/>
          <w:sz w:val="28"/>
          <w:szCs w:val="28"/>
          <w:lang w:val="en-US" w:eastAsia="zh-CN" w:bidi="ar"/>
        </w:rPr>
        <w:br w:type="textWrapping"/>
      </w:r>
      <w:r>
        <w:rPr>
          <w:rStyle w:val="7"/>
          <w:rFonts w:hint="default" w:ascii="Helvetica" w:hAnsi="Helvetica" w:eastAsia="Helvetica" w:cs="Helvetica"/>
          <w:b/>
          <w:bCs w:val="0"/>
          <w:color w:val="000000"/>
          <w:spacing w:val="23"/>
          <w:kern w:val="0"/>
          <w:sz w:val="24"/>
          <w:szCs w:val="24"/>
          <w:lang w:val="en-US" w:eastAsia="zh-CN" w:bidi="ar"/>
        </w:rPr>
        <w:t>4、预征率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目前主要针对不动产和建筑行业采用预征办法，主要有5%、3%和2%的档次。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val="0"/>
          <w:sz w:val="28"/>
          <w:szCs w:val="28"/>
        </w:rPr>
      </w:pPr>
    </w:p>
    <w:p>
      <w:pPr>
        <w:keepNext w:val="0"/>
        <w:keepLines w:val="0"/>
        <w:widowControl/>
        <w:suppressLineNumbers w:val="0"/>
        <w:jc w:val="left"/>
        <w:rPr>
          <w:rStyle w:val="7"/>
          <w:rFonts w:hint="eastAsia" w:ascii="微软雅黑" w:hAnsi="微软雅黑" w:eastAsia="微软雅黑" w:cs="微软雅黑"/>
          <w:b/>
          <w:bCs w:val="0"/>
          <w:color w:val="FF0000"/>
          <w:kern w:val="0"/>
          <w:sz w:val="28"/>
          <w:szCs w:val="28"/>
          <w:lang w:val="en-US" w:eastAsia="zh-CN" w:bidi="ar"/>
        </w:rPr>
      </w:pPr>
      <w:r>
        <w:rPr>
          <w:rStyle w:val="7"/>
          <w:rFonts w:hint="eastAsia" w:ascii="微软雅黑" w:hAnsi="微软雅黑" w:eastAsia="微软雅黑" w:cs="微软雅黑"/>
          <w:b/>
          <w:bCs w:val="0"/>
          <w:color w:val="FF0000"/>
          <w:kern w:val="0"/>
          <w:sz w:val="28"/>
          <w:szCs w:val="28"/>
          <w:lang w:val="en-US" w:eastAsia="zh-CN" w:bidi="ar"/>
        </w:rPr>
        <w:t>03  2022年最新最全的抵扣攻略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b/>
          <w:bCs w:val="0"/>
          <w:sz w:val="28"/>
          <w:szCs w:val="28"/>
        </w:rPr>
      </w:pPr>
      <w:r>
        <w:rPr>
          <w:rFonts w:hint="default" w:ascii="Helvetica" w:hAnsi="Helvetica" w:eastAsia="Helvetica" w:cs="Helvetica"/>
          <w:b/>
          <w:bCs w:val="0"/>
          <w:color w:val="000000"/>
          <w:spacing w:val="23"/>
          <w:sz w:val="22"/>
          <w:szCs w:val="22"/>
        </w:rPr>
        <w:t>除了最常见的增值税专用发票可以抵扣外，以下凭证类型也可以抵扣进项税：</w:t>
      </w:r>
    </w:p>
    <w:p>
      <w:pPr>
        <w:keepNext w:val="0"/>
        <w:keepLines w:val="0"/>
        <w:widowControl/>
        <w:suppressLineNumbers w:val="0"/>
        <w:jc w:val="left"/>
        <w:rPr>
          <w:b/>
          <w:bCs w:val="0"/>
          <w:sz w:val="22"/>
          <w:szCs w:val="28"/>
        </w:rPr>
      </w:pPr>
      <w:r>
        <w:rPr>
          <w:rFonts w:ascii="宋体" w:hAnsi="宋体" w:eastAsia="宋体" w:cs="宋体"/>
          <w:b/>
          <w:bCs w:val="0"/>
          <w:spacing w:val="8"/>
          <w:kern w:val="0"/>
          <w:sz w:val="28"/>
          <w:szCs w:val="28"/>
          <w:bdr w:val="single" w:color="EEEDEB" w:sz="6" w:space="0"/>
          <w:shd w:val="clear" w:fill="EEEDEB"/>
          <w:lang w:val="en-US" w:eastAsia="zh-CN" w:bidi="ar"/>
        </w:rPr>
        <w:drawing>
          <wp:inline distT="0" distB="0" distL="114300" distR="114300">
            <wp:extent cx="2065655" cy="10058400"/>
            <wp:effectExtent l="0" t="0" r="10795"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rcRect/>
                    <a:stretch>
                      <a:fillRect/>
                    </a:stretch>
                  </pic:blipFill>
                  <pic:spPr>
                    <a:xfrm>
                      <a:off x="0" y="0"/>
                      <a:ext cx="2065629" cy="10058400"/>
                    </a:xfrm>
                    <a:prstGeom prst="rect">
                      <a:avLst/>
                    </a:prstGeom>
                    <a:noFill/>
                    <a:ln w="9525">
                      <a:noFill/>
                    </a:ln>
                  </pic:spPr>
                </pic:pic>
              </a:graphicData>
            </a:graphic>
          </wp:inline>
        </w:drawing>
      </w:r>
      <w:r>
        <w:rPr>
          <w:rFonts w:ascii="宋体" w:hAnsi="宋体" w:eastAsia="宋体" w:cs="宋体"/>
          <w:b/>
          <w:bCs w:val="0"/>
          <w:kern w:val="0"/>
          <w:sz w:val="28"/>
          <w:szCs w:val="28"/>
          <w:lang w:val="en-US" w:eastAsia="zh-CN" w:bidi="ar"/>
        </w:rPr>
        <w:drawing>
          <wp:inline distT="0" distB="0" distL="114300" distR="114300">
            <wp:extent cx="2794635" cy="10058400"/>
            <wp:effectExtent l="0" t="0" r="5715"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rcRect/>
                    <a:stretch>
                      <a:fillRect/>
                    </a:stretch>
                  </pic:blipFill>
                  <pic:spPr>
                    <a:xfrm>
                      <a:off x="0" y="0"/>
                      <a:ext cx="2794913" cy="10058400"/>
                    </a:xfrm>
                    <a:prstGeom prst="rect">
                      <a:avLst/>
                    </a:prstGeom>
                    <a:noFill/>
                    <a:ln w="9525">
                      <a:noFill/>
                    </a:ln>
                  </pic:spPr>
                </pic:pic>
              </a:graphicData>
            </a:graphic>
          </wp:inline>
        </w:drawing>
      </w:r>
      <w:r>
        <w:rPr>
          <w:rFonts w:ascii="宋体" w:hAnsi="宋体" w:eastAsia="宋体" w:cs="宋体"/>
          <w:b/>
          <w:bCs w:val="0"/>
          <w:kern w:val="0"/>
          <w:sz w:val="28"/>
          <w:szCs w:val="28"/>
          <w:lang w:val="en-US" w:eastAsia="zh-CN" w:bidi="ar"/>
        </w:rPr>
        <w:drawing>
          <wp:inline distT="0" distB="0" distL="114300" distR="114300">
            <wp:extent cx="2794635" cy="10058400"/>
            <wp:effectExtent l="0" t="0" r="5715"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9"/>
                    <a:srcRect/>
                    <a:stretch>
                      <a:fillRect/>
                    </a:stretch>
                  </pic:blipFill>
                  <pic:spPr>
                    <a:xfrm>
                      <a:off x="0" y="0"/>
                      <a:ext cx="2794913" cy="10058400"/>
                    </a:xfrm>
                    <a:prstGeom prst="rect">
                      <a:avLst/>
                    </a:prstGeom>
                    <a:noFill/>
                    <a:ln w="9525">
                      <a:noFill/>
                    </a:ln>
                  </pic:spPr>
                </pic:pic>
              </a:graphicData>
            </a:graphic>
          </wp:inline>
        </w:drawing>
      </w:r>
      <w:r>
        <w:rPr>
          <w:rFonts w:ascii="宋体" w:hAnsi="宋体" w:eastAsia="宋体" w:cs="宋体"/>
          <w:b/>
          <w:bCs w:val="0"/>
          <w:kern w:val="0"/>
          <w:sz w:val="28"/>
          <w:szCs w:val="28"/>
          <w:lang w:val="en-US" w:eastAsia="zh-CN" w:bidi="ar"/>
        </w:rPr>
        <w:drawing>
          <wp:inline distT="0" distB="0" distL="114300" distR="114300">
            <wp:extent cx="3888105" cy="10058400"/>
            <wp:effectExtent l="0" t="0" r="17145"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0"/>
                    <a:srcRect/>
                    <a:stretch>
                      <a:fillRect/>
                    </a:stretch>
                  </pic:blipFill>
                  <pic:spPr>
                    <a:xfrm>
                      <a:off x="0" y="0"/>
                      <a:ext cx="3887967" cy="10058400"/>
                    </a:xfrm>
                    <a:prstGeom prst="rect">
                      <a:avLst/>
                    </a:prstGeom>
                    <a:noFill/>
                    <a:ln w="9525">
                      <a:noFill/>
                    </a:ln>
                  </pic:spPr>
                </pic:pic>
              </a:graphicData>
            </a:graphic>
          </wp:inline>
        </w:drawing>
      </w:r>
      <w:r>
        <w:rPr>
          <w:rFonts w:ascii="宋体" w:hAnsi="宋体" w:eastAsia="宋体" w:cs="宋体"/>
          <w:b/>
          <w:bCs w:val="0"/>
          <w:kern w:val="0"/>
          <w:sz w:val="28"/>
          <w:szCs w:val="28"/>
          <w:lang w:val="en-US" w:eastAsia="zh-CN" w:bidi="ar"/>
        </w:rPr>
        <w:br w:type="textWrapping"/>
      </w:r>
      <w:r>
        <w:rPr>
          <w:rFonts w:ascii="宋体" w:hAnsi="宋体" w:eastAsia="宋体" w:cs="宋体"/>
          <w:b/>
          <w:bCs w:val="0"/>
          <w:kern w:val="0"/>
          <w:sz w:val="28"/>
          <w:szCs w:val="28"/>
          <w:lang w:val="en-US" w:eastAsia="zh-CN" w:bidi="ar"/>
        </w:rPr>
        <w:drawing>
          <wp:inline distT="0" distB="0" distL="114300" distR="114300">
            <wp:extent cx="3707765" cy="10058400"/>
            <wp:effectExtent l="0" t="0" r="6985"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1"/>
                    <a:srcRect/>
                    <a:stretch>
                      <a:fillRect/>
                    </a:stretch>
                  </pic:blipFill>
                  <pic:spPr>
                    <a:xfrm>
                      <a:off x="0" y="0"/>
                      <a:ext cx="3707563" cy="10058400"/>
                    </a:xfrm>
                    <a:prstGeom prst="rect">
                      <a:avLst/>
                    </a:prstGeom>
                    <a:noFill/>
                    <a:ln w="9525">
                      <a:noFill/>
                    </a:ln>
                  </pic:spPr>
                </pic:pic>
              </a:graphicData>
            </a:graphic>
          </wp:inline>
        </w:drawing>
      </w:r>
    </w:p>
    <w:p>
      <w:pPr>
        <w:rPr>
          <w:b/>
          <w:bCs w:val="0"/>
          <w:sz w:val="22"/>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4OTNlOWY5MjQxYTc0ZjI0N2QxNTk2ZDIzMmU2M2UifQ=="/>
  </w:docVars>
  <w:rsids>
    <w:rsidRoot w:val="00000000"/>
    <w:rsid w:val="0E5B1903"/>
    <w:rsid w:val="245D041E"/>
    <w:rsid w:val="73370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1771</Words>
  <Characters>1876</Characters>
  <Lines>0</Lines>
  <Paragraphs>0</Paragraphs>
  <TotalTime>19</TotalTime>
  <ScaleCrop>false</ScaleCrop>
  <LinksUpToDate>false</LinksUpToDate>
  <CharactersWithSpaces>1877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2022-07-07T01:31:00Z</dcterms:created>
  <dc:creator>Administrator</dc:creator>
  <cp:lastModifiedBy>Henry</cp:lastModifiedBy>
  <dcterms:modified xsi:type="dcterms:W3CDTF">2022-07-07T07:16:54Z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EB4021AC38D1487BA7ECBEA72C316E71</vt:lpwstr>
  </property>
</Properties>
</file>