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caps w:val="0"/>
          <w:color w:val="333333"/>
          <w:spacing w:val="8"/>
          <w:sz w:val="33"/>
          <w:szCs w:val="33"/>
        </w:rPr>
      </w:pPr>
      <w:bookmarkStart w:id="0" w:name="_GoBack"/>
      <w:bookmarkEnd w:id="0"/>
      <w:r>
        <w:rPr>
          <w:rFonts w:hint="eastAsia" w:ascii="Microsoft YaHei UI" w:hAnsi="Microsoft YaHei UI" w:eastAsia="Microsoft YaHei UI" w:cs="Microsoft YaHei UI"/>
          <w:i w:val="0"/>
          <w:caps w:val="0"/>
          <w:color w:val="333333"/>
          <w:spacing w:val="8"/>
          <w:sz w:val="33"/>
          <w:szCs w:val="33"/>
          <w:shd w:val="clear" w:fill="FFFFFF"/>
        </w:rPr>
        <w:t>一份完整版公司财务制度(适合中小企业)，财务人必备！</w:t>
      </w:r>
    </w:p>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color w:val="021EAA"/>
          <w:spacing w:val="44"/>
          <w:sz w:val="22"/>
          <w:szCs w:val="22"/>
        </w:rPr>
        <w:t>第一章 出纳管理制度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color w:val="000000"/>
          <w:spacing w:val="44"/>
          <w:sz w:val="22"/>
          <w:szCs w:val="22"/>
        </w:rPr>
        <w:t>一、库存现金管理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1、出纳现金须日清月结、每天盘点，做到账实核对，每月会计参与的不定期盘点及月末盘点不少于两次，并且出具《现金盘点表》；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2、超过库存限额的现金（2000元）应及时存入银行；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3、携带现金或支票往返银行办理业务需乘公司车辆或打车；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4、出纳保险柜中，禁止存放任何私人财物，避免公私混淆，不得私设“小金库”，取得的货币资金必须及时入账，不得账外设账，严禁收款不入账；不准挪用现金，不准白条抵库，不准坐支现金，不准保存账外公款，严禁未经授权的部门或人员办理资金业务或直接接触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color w:val="000000"/>
          <w:spacing w:val="44"/>
          <w:sz w:val="22"/>
          <w:szCs w:val="22"/>
        </w:rPr>
        <w:t>二、支票管理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1、须建立《支票购买登记簿》并制作《支票领用登记簿》，新购支票由出纳分类按支票号码顺序登记，使用完毕后需由会计或财务负责人进行签字确认；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2、支票签发应在《支票领用登记簿》中登记支票号码、支票用途、票面金额、内部经办人、领取人、领取人电话等相关信息，领取人需亲自签字确认；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3、出纳负责及时跟进收取支票进账后的正式回单；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color w:val="000000"/>
          <w:spacing w:val="44"/>
          <w:sz w:val="22"/>
          <w:szCs w:val="22"/>
        </w:rPr>
        <w:t>三、日记账管理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1、出纳每日完成收付款业务后，即时登记现金和银行存款日记账（手工账或电子账）；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2、根据审核后盖有“现金/银行收讫”、“现金/银行付讫”的现金/银行收款凭证、现金/银行付款凭证，逐日逐笔顺序登记；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3、记账内容必须与会计凭证一致，每一笔账都要记明记账凭证的日期、编号、摘要、金额和对应科目等；经济业务的摘要以能够清楚表述业务内容为度；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4、应逐笔分行记录，得将收款凭证或付款凭证合并登记，也不得将收款付款相抵后以差额登记；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5、每笔业务登记后均须结出账面余额，并登记每日收入和支出的合计数。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333333"/>
          <w:spacing w:val="8"/>
          <w:sz w:val="25"/>
          <w:szCs w:val="25"/>
        </w:rPr>
        <w:drawing>
          <wp:inline distT="0" distB="0" distL="114300" distR="114300">
            <wp:extent cx="8458200" cy="135255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8458200" cy="1352550"/>
                    </a:xfrm>
                    <a:prstGeom prst="rect">
                      <a:avLst/>
                    </a:prstGeom>
                    <a:noFill/>
                    <a:ln w="9525">
                      <a:noFill/>
                    </a:ln>
                  </pic:spPr>
                </pic:pic>
              </a:graphicData>
            </a:graphic>
          </wp:inline>
        </w:drawing>
      </w:r>
    </w:p>
    <w:p>
      <w:pPr>
        <w:keepNext w:val="0"/>
        <w:keepLines w:val="0"/>
        <w:widowControl/>
        <w:suppressLineNumbers w:val="0"/>
        <w:jc w:val="left"/>
      </w:pPr>
      <w:r>
        <w:rPr>
          <w:rStyle w:val="7"/>
          <w:rFonts w:ascii="宋体" w:hAnsi="宋体" w:eastAsia="宋体" w:cs="宋体"/>
          <w:color w:val="021EAA"/>
          <w:spacing w:val="44"/>
          <w:kern w:val="0"/>
          <w:sz w:val="22"/>
          <w:szCs w:val="22"/>
          <w:lang w:val="en-US" w:eastAsia="zh-CN" w:bidi="ar"/>
        </w:rPr>
        <w:t>第二章 费用报销流程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color w:val="000000"/>
          <w:spacing w:val="44"/>
          <w:sz w:val="22"/>
          <w:szCs w:val="22"/>
        </w:rPr>
        <w:t>一、取得发票要求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1、收取的各类非定额发票，必须字迹清楚，不得涂改，项目填写齐全，各项目内容准确无误，否则一律退还给开票方，不得作为结算、抵扣凭证；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2、收取的各类发票应加盖发票专用章，且发票专用章应清晰可见，同时印章的公司名称及税号须与发票抬头处写有开票公司信息的公司名称及税号一致；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3、收取的各类发票，应根据发票上的批注进行网上或其它方式的验真；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4、取得各类非定额发票时，发票抬头的公司名称必须完整且与所在公司保持一致，所取得发票种类及开具内容必须与业务内容保持一致。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color w:val="000000"/>
          <w:spacing w:val="44"/>
          <w:sz w:val="22"/>
          <w:szCs w:val="22"/>
        </w:rPr>
        <w:t>二、费用报销单的填列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1、报销的项目类型需与后附发票保持一致；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2、报销人、领款人、复核人、领导确认等需签字齐全方可报销；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3、发票项目为一批的需附发票清单；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4、当月费用需当月报销，尤其不可出现费用报销跨年现象（12月21后发生业务不在此范围内）。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color w:val="000000"/>
          <w:spacing w:val="44"/>
          <w:sz w:val="22"/>
          <w:szCs w:val="22"/>
        </w:rPr>
        <w:t>三、费用的分类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1、管理费用：包括不限于管理人员工资、办公费、车辆费用、电话网络通讯费、差旅费、业务招待费、交通费等；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2、销售费用：包括不限于销售（前勤）人员工资、与销售相关的其他费用。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3、财务费用：银行收取的各项费用，包括账户维护费，电汇手续费，支票费用，利息费用等。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color w:val="000000"/>
          <w:spacing w:val="44"/>
          <w:sz w:val="22"/>
          <w:szCs w:val="22"/>
        </w:rPr>
        <w:t>四、费用报销流程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1、各项费用发生前需提报费用申请单（OA形式或纸质单据均可，需终审领导签字同意方可发生该项费用）；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2、费用发生完成后，需凭领导签字的费用申请单（或OA），费用报销单，正规发票履行报销手续，由会计审核，领导签字确认，出纳复合无误后报销（如网银支付报销单后需付网银支付回单）。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color w:val="000000"/>
          <w:spacing w:val="44"/>
          <w:sz w:val="22"/>
          <w:szCs w:val="22"/>
        </w:rPr>
        <w:t>五、差旅费审核要点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1、差旅费申请单的出差往返日期与机票或火车票往返日期是否一致，机票或火车票的出差人与申请是否为同一人。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2、住宿费发票日期及天数是否与机票或火车票相符，住宿费及餐费发票是否为出差当地发票。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3、如在出差地发生业务招待费需单独提报，不可与差旅费一起提报。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color w:val="000000"/>
          <w:spacing w:val="44"/>
          <w:sz w:val="22"/>
          <w:szCs w:val="22"/>
        </w:rPr>
        <w:t>六、业务招待费审核要点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1、费用报销单需列明招待时间、地点及相关人员；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2、如发票为定额发票且报销金额为整数（如伍佰元整），需提供相应水单。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color w:val="000000"/>
          <w:spacing w:val="44"/>
          <w:sz w:val="22"/>
          <w:szCs w:val="22"/>
        </w:rPr>
        <w:t>七、借支或备用金的管理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1、如因业务需要需借支，填报借支单，经终审领导签字同意，给予借支。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2、相应费用业务完成后一周内，履行报销手续，归还借支。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3、如借支三个月后仍未归还或履行报销手续，则从当事人工资中扣减借支金额，当月工资不足部分，下月继续扣减。如该员工离职，则扣减直属领导工资。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4、部门的经常性、常规性业务支出可申请备用金。备用金申请单需终审领导签字同意。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5、财务部出纳需每月对部门备用金进行盘点，盘点表签字确认无误后归档留存。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6、每季末需归还备用金，下季初重新走备用金申请流程。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333333"/>
          <w:spacing w:val="8"/>
          <w:sz w:val="25"/>
          <w:szCs w:val="25"/>
        </w:rPr>
        <w:drawing>
          <wp:inline distT="0" distB="0" distL="114300" distR="114300">
            <wp:extent cx="8458200" cy="135255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8458200" cy="1352550"/>
                    </a:xfrm>
                    <a:prstGeom prst="rect">
                      <a:avLst/>
                    </a:prstGeom>
                    <a:noFill/>
                    <a:ln w="9525">
                      <a:noFill/>
                    </a:ln>
                  </pic:spPr>
                </pic:pic>
              </a:graphicData>
            </a:graphic>
          </wp:inline>
        </w:drawing>
      </w:r>
    </w:p>
    <w:p>
      <w:pPr>
        <w:keepNext w:val="0"/>
        <w:keepLines w:val="0"/>
        <w:widowControl/>
        <w:suppressLineNumbers w:val="0"/>
        <w:jc w:val="left"/>
      </w:pPr>
      <w:r>
        <w:rPr>
          <w:rStyle w:val="7"/>
          <w:rFonts w:ascii="宋体" w:hAnsi="宋体" w:eastAsia="宋体" w:cs="宋体"/>
          <w:color w:val="021EAA"/>
          <w:spacing w:val="44"/>
          <w:kern w:val="0"/>
          <w:sz w:val="22"/>
          <w:szCs w:val="22"/>
          <w:lang w:val="en-US" w:eastAsia="zh-CN" w:bidi="ar"/>
        </w:rPr>
        <w:t>第三章 税、票管理制度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color w:val="000000"/>
          <w:spacing w:val="44"/>
          <w:sz w:val="22"/>
          <w:szCs w:val="22"/>
        </w:rPr>
        <w:t>一、发票管理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1、发票领购、保管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a)领购发票时，必须由发票管理员向税务机关办理发票领购。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b)增值税专用发票和普通发票必须按规定存放到财务人员专用文件柜中。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c)需开具时必须将已开具好的发票妥善保管，未开具的增值税专用发票和普通发票及时放到财务人员专用文件柜中。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d)对于开具的增值税专用发票和普通发票存根及作废的，月末必须按规定装订成册，并按增值税专用发票和普通发票存放时限存放，确保完整无损。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e)严禁将公司领购的增值税专用发票和普通发票向他人提供使用。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f)发票管理员必须按规定及时到税务机关办理发票核销手续。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g)发票管理员因工作变动或调离必须按税法和企业管理制度规定办理移交手续。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2、按增值税专用发票和普通发票的开具范围，开具发票。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公司销售货物，应税劳务，根据增值税细则规定，应当征收增值税的应税劳务，必须向购买方开具专用发票。向小规模纳税人销售应税项目，应开具普通发票，未经税务机关批准，不开具专用发票。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3、专用发票按以下要求开具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a)字迹清楚；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b)项目填写齐全；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c)票物相符，票面金额与实际收取的金额相符；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d)各项目内容准确无误；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e)发票联和抵扣联加盖财务专用章或发票专用章；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f)按照规定的时限开具专用发票；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g)不得开具票样与国家税务局统一制定的票样不相符合的专用发票。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4、严格按照公司规定时限开具专用发票，不提前或滞后。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5、销售货物并向购买方开具专用发票后，如发生退货或销售折让，应视不同情况分别按以下规定办理：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a)购买方在未付货款并且未做帐务处理的情况下，须将原发票联和税款抵扣联退还公司。将该发票各联次注明“作废”字样，作废该份增值税专用发票。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b)在购买方已付款，或者货款未付但已作帐务处理发票联及抵扣联无法退还的情况下，购买方必须取得当地主管税务机关开具的进货退出或索取折让证明单送交公司，作为公司开具负数发票的依据。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c)公司取得的进货退出或索取折让证明单要装订成册，并依照有关规定进行保管。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6、增值税进项税抵扣联按期装订成册。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7、不丢失、损（撕）毁发票，不擅自销毁专用发票的基本联次。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8、不符合规定的专用发票，不得抵扣进项税额。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9、丢失专用发票，必须按规定程序及时向当地税务机关、公安机关报告。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10、不代开、虚开增值税专用发票。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color w:val="000000"/>
          <w:spacing w:val="44"/>
          <w:sz w:val="22"/>
          <w:szCs w:val="22"/>
        </w:rPr>
        <w:t>二、采购或报销应取得有效发票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1、各公司采购各种商品(含库存商品、固定资产、无形资产、低值易耗品及办公用品等)，以及报销各种费用均应依法取得有效发票。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2、向广告公司支付的广告费应取得广告业发票，其他任何发票均不应作为报销依据。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3、向运输企业支付运输费应取得《公路、内河运输业统一发票》，其他任何发票均不应作为报销依据。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a)采购库存商品应取得17%增值税专用发票。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b)购买固定资产、无形资产应取得17%增值税专用发票。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c)向印刷公司支付的印刷费若≥2000元，购买办公用品金额若≥2000元，均应依法取得增值税专用发票。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d)上述业务若因特殊原因无法取得规定的发票，应由财务负责人及公司负责人批准后方能以其他普通发票作为付款(或报销)依据。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e)取得的增值税专用发票必须合法、有效，不得收取过期发票或无效发票。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f)取得的所有增值税涉税发票(含增值税专用发票、运输发票等)必须在发票有效期内交给税务人员扫描认证。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g)移交或接收增值税涉税发票时应如实填写《增值税涉税发票交接表》，由交接双方签字确认。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h)税务人员当月收到的所有增值税涉税发票应在当月扫描、认证完毕，不应遗漏或丢失。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i)财务人员进行账务处理时，选用的会计科目及记录的凭证摘要应与取得的发票开票内容保持一致。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color w:val="000000"/>
          <w:spacing w:val="44"/>
          <w:sz w:val="22"/>
          <w:szCs w:val="22"/>
        </w:rPr>
        <w:t>三、纳税申报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1、每月计提所有税款都应填写税金计算表，该计算表应打印并由财务负责人签字后作为税金计提凭证的附件。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2、公司应按主管税务机关的要求及时申报所有纳税报表并及时缴纳税款。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color w:val="000000"/>
          <w:spacing w:val="44"/>
          <w:sz w:val="22"/>
          <w:szCs w:val="22"/>
        </w:rPr>
        <w:t>四、税务档案管理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1、将各主管税务机关名称及具体管辖的所有局(处或科、室)负责人名称、职务、主管业务及联系方式等进行书面登记。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2、将各年度所有法定纳税申报表及内部税务管理报表按月装订成册，并规范制作文件封面，妥善存档保管。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3、将各年度企业所得税汇算清缴审核报告、财产损失审核报告及其他有关税务审核报告规范装订成册，妥善保管。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4、将税务机关出具的各种批复、检查处理决定等文件装订成册，并规范制作文件封面，妥善存档保管。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5、建立《税务档案保管清册》，对所有税务证件、申报软件(含软体及IP地址)、IC卡、储存盘、纳税申报表、审计报告、税务批复、税法文件等详细记录在保管清册中。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44"/>
          <w:sz w:val="22"/>
          <w:szCs w:val="22"/>
        </w:rPr>
        <w:t>6、若税务人员离职，应规范办理税务档案移交手续，填写移交清单，移交清楚后方可办理其他离职手续。</w:t>
      </w:r>
    </w:p>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CF4CEF"/>
    <w:rsid w:val="3366366C"/>
    <w:rsid w:val="46B10A91"/>
    <w:rsid w:val="63BD3B86"/>
    <w:rsid w:val="6D290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81258</dc:creator>
  <cp:lastModifiedBy>芬 - Shelly</cp:lastModifiedBy>
  <dcterms:modified xsi:type="dcterms:W3CDTF">2020-07-01T02:55:56Z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