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sz w:val="28"/>
          <w:szCs w:val="32"/>
        </w:rPr>
      </w:pPr>
      <w:bookmarkStart w:id="0" w:name="_GoBack"/>
      <w:bookmarkEnd w:id="0"/>
      <w:r>
        <w:rPr>
          <w:rFonts w:ascii="宋体" w:hAnsi="宋体" w:eastAsia="宋体" w:cs="宋体"/>
          <w:b/>
          <w:bCs/>
          <w:kern w:val="0"/>
          <w:sz w:val="36"/>
          <w:szCs w:val="36"/>
          <w:lang w:bidi="ar"/>
        </w:rPr>
        <w:t>管理费用35个明细科目大全</w:t>
      </w:r>
    </w:p>
    <w:p>
      <w:pPr>
        <w:rPr>
          <w:b/>
          <w:bCs/>
        </w:rPr>
      </w:pPr>
    </w:p>
    <w:p>
      <w:pPr>
        <w:widowControl/>
        <w:jc w:val="left"/>
      </w:pPr>
      <w:r>
        <w:rPr>
          <w:rFonts w:ascii="宋体" w:hAnsi="宋体" w:eastAsia="宋体" w:cs="宋体"/>
          <w:b/>
          <w:bCs/>
          <w:color w:val="E46C0A" w:themeColor="accent6" w:themeShade="BF"/>
          <w:kern w:val="0"/>
          <w:sz w:val="28"/>
          <w:szCs w:val="28"/>
          <w:lang w:bidi="ar"/>
        </w:rPr>
        <w:t>1、管理人员工资：</w:t>
      </w:r>
      <w:r>
        <w:rPr>
          <w:rFonts w:ascii="宋体" w:hAnsi="宋体" w:eastAsia="宋体" w:cs="宋体"/>
          <w:color w:val="FFFF00"/>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行政管理部门的人员工资，如管理人员、技术人员、工人、应由费用列支的服务人员（如食堂炊事人员），临时抽调在行政管理部门助勤人员、全厂性仓库人员等的工资。但技工学校、中小学及托儿所、幼儿园、厂外浴池、理发室及职工医院人员的工资。不包括在本项目内。</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2、职工福利费：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是指企业为职工提供的除职工工资、奖金、津贴、纳入工资总额管理的补贴、职工教育经费、社会保险费和补充养老保险费(年金)、补充医疗保险费及住房公积金以外的福利待遇支出，包括发放给职工或为职工支付的以下各项现金补贴和非货币性集体福利，不超过工资薪金的14%准予扣除。</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3、差旅费：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按照规定支付行政管理部门职工因公外出所产生的各种差旅费、住宿费、助勤费、伙食费、公杂费等等；按规定支付职工及其家属的调转、搬家费；按规定支付患职业病的职工去外地就医的交通费、宿费、伙食补贴等。</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4、办公费：</w:t>
      </w:r>
      <w:r>
        <w:rPr>
          <w:rFonts w:ascii="宋体" w:hAnsi="宋体" w:eastAsia="宋体" w:cs="宋体"/>
          <w:b/>
          <w:bCs/>
          <w:color w:val="E46C0A" w:themeColor="accent6" w:themeShade="BF"/>
          <w:kern w:val="0"/>
          <w:sz w:val="28"/>
          <w:szCs w:val="28"/>
          <w:lang w:bidi="ar"/>
        </w:rPr>
        <w:br w:type="textWrapping"/>
      </w:r>
      <w:r>
        <w:rPr>
          <w:rFonts w:hint="eastAsia" w:ascii="宋体" w:hAnsi="宋体" w:eastAsia="宋体" w:cs="宋体"/>
          <w:b/>
          <w:bCs/>
          <w:color w:val="E46C0A" w:themeColor="accent6" w:themeShade="BF"/>
          <w:kern w:val="0"/>
          <w:sz w:val="28"/>
          <w:szCs w:val="28"/>
          <w:lang w:bidi="ar"/>
        </w:rPr>
        <w:tab/>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的文具、纸张印刷品(包括各种规程、制度、报表、票据、账簿等的印刷费和购置费)、邮电通信费(包括邮票、邮费、电报、电话费、市话初装费，以及调度通信话路以外的话路租金等)、办公用品等办公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5、折旧费：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指按规定由行政管理部门列支的各项固定资产（包括文教、卫生、福利部门固定资产）的折旧费用。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6、修理费：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指行政管理部门所用固定资产的修理费用。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7、物料消耗：</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物料消耗指车间为进行生产和维护生产设备、环境等所消耗的各种一般材料(不包括修理(主要指配件)和劳动保护用材料)</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8、低值易耗品摊销：</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指行政管理部门所使用的低值易耗品、工具、低值设备因磨损而减少的价值及修理费。</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9、工会经费：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b/>
          <w:bCs/>
          <w:color w:val="E46C0A" w:themeColor="accent6" w:themeShade="BF"/>
          <w:kern w:val="0"/>
          <w:sz w:val="28"/>
          <w:szCs w:val="28"/>
          <w:lang w:bidi="ar"/>
        </w:rPr>
        <w:br w:type="textWrapping"/>
      </w:r>
      <w:r>
        <w:rPr>
          <w:rFonts w:hint="eastAsia" w:ascii="黑体" w:hAnsi="黑体" w:eastAsia="黑体" w:cs="黑体"/>
          <w:kern w:val="0"/>
          <w:sz w:val="24"/>
          <w:szCs w:val="24"/>
          <w:lang w:bidi="ar"/>
        </w:rPr>
        <w:t>指拨交给工会的经费。</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10、职工教育经费：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指企业为职工学习先进技术和提高文化水平而支付的费用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11、劳动保险费：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指企业缴纳的养老保险金、退休金等有关离退休人员的费用支出，还核算丧葬补助费、抚恤费。 支付给离退休职工的退休金(包括按规定交纳的离退休统筹金)、价格补贴、医药费(包括企业支付离退休人员参加医疗保险的费用)、职工退职金、6个月以上病假人员工资，职工死亡丧葬补助费、抚恤费一次性补偿金等等。</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12、董事会费：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指企业最高权力机构（如董事会）及其成员为执行职能而发生的日常开支，包括差旅费、会议费、交通费等。</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13、咨询费：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指企业向有关咨询机构进行科学技术、经营管理咨询所发生的费用，包括聘请经济技术顾问、法律顾问等支付的费用。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14、审计费：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指企业聘请注册会计师进行查帐验资以及进行资产评估等发生的各项费用。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15、诉讼费：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指企业因起诉或者应诉而发生的各项费用。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16、绿化费：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与生产经营有关的、合理的厂区绿化费用。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17、技术开发费：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指企业研究开发新产品、新技术、新工艺所发生的费用。</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18、无形资产摊销：</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指专利权、商标权、著作权、土地使用权、非专利技术等无形资产的摊销。</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19、业务招待费：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指企业的所属部门为企业业务经营的合理需要而支付的费用。按照发生额的60%扣除，但最高不得超过当年销售（营业）收入的5‰。</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20、仓储费用：</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指企业材料、半成品及其产成品仓库为进行保管、整理等工作所耗用的材料、工具，备品和其他费用。</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21、保险费：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指行政管理部门（包括福利部门）应负担的财产保险费、车辆保险（不包括采购物资的途中保险费）。</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22、水电费：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指行政管理部门由于消耗水、电和照明用材料等而支付的费用。</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23、运输费：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指行政管理部门应负担的厂内运输部门和厂外运输机构所提供的运输费用。包括其办公用车辆的养路费、管理费、耗用燃料及其他材料等费用。不计入材料采购成本的市内运杂费。</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24、取暖费：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指行政管理部门所支付的取暖费，包括取暖用燃料、蒸汽、热水、炉具等支出。</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25、警卫消防费：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企业警卫。消防部门的维护费用和日常经费。如消耗的消防用材料物资、预防用材料物资、预防宣传费用、警卫消防人员服装和门卫费用等。</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26、会议费：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指企业因召开会议按照规定支付的各种费用，其中包括会议伙食补助费、会议公杂费、住宿费和会场租赁费、会议交通费等。</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27、职工交通费：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按照地方规定的范围和标准支付给职工的市内交通补贴，为职工上下班工厂自备车和职工私车所耗用的汽油费、养路费等交通费以及职工探亲旅费等。</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28、劳动保护费：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指按照规定标准和范围支付给职工的劳动保护用品，防暑降温、保健饮食品（含外购矿泉饮水）的费用和劳动保护宣传费用。</w:t>
      </w:r>
      <w:r>
        <w:rPr>
          <w:rFonts w:hint="eastAsia" w:ascii="黑体" w:hAnsi="黑体" w:eastAsia="黑体" w:cs="黑体"/>
          <w:kern w:val="0"/>
          <w:sz w:val="24"/>
          <w:szCs w:val="24"/>
          <w:lang w:bidi="ar"/>
        </w:rPr>
        <w:br w:type="textWrapping"/>
      </w:r>
      <w:r>
        <w:rPr>
          <w:rFonts w:hint="eastAsia" w:ascii="黑体" w:hAnsi="黑体" w:eastAsia="黑体" w:cs="黑体"/>
          <w:kern w:val="0"/>
          <w:sz w:val="24"/>
          <w:szCs w:val="24"/>
          <w:lang w:bidi="ar"/>
        </w:rPr>
        <w:br w:type="textWrapping"/>
      </w:r>
      <w:r>
        <w:rPr>
          <w:rFonts w:ascii="宋体" w:hAnsi="宋体" w:eastAsia="宋体" w:cs="宋体"/>
          <w:b/>
          <w:bCs/>
          <w:color w:val="E46C0A" w:themeColor="accent6" w:themeShade="BF"/>
          <w:kern w:val="0"/>
          <w:sz w:val="28"/>
          <w:szCs w:val="28"/>
          <w:lang w:bidi="ar"/>
        </w:rPr>
        <w:t>29、租赁费：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指行政管理部门使用的从外部租入的各种固定资产和用具等按规定在管理费用中列支的租金。</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30、环保卫生费：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指企业为预防职业病而发生的工业卫生费；为保护工厂环境而发生的环境保护费用：“三废”费用；厂区清洁费用等。</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31、坏账损失：</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指企业经批准实际转销的确实无法收回的应收款项或按规定提取的坏账准备金。</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32、存货盘亏（减盘盈）：</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指企业的原材料、自制半成品、在产品及产成品等盘亏，毁损、报废扣除过失人及保险公司赔款与上述存货盘盈相抵后的净损失。</w:t>
      </w:r>
      <w:r>
        <w:rPr>
          <w:rFonts w:hint="eastAsia" w:ascii="黑体" w:hAnsi="黑体" w:eastAsia="黑体" w:cs="黑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33、试验检验费：</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指企业对材料或产品进行化验、检验、试验而发生的费用。</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34、计提的存货跌价准备：</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b/>
          <w:bCs/>
          <w:color w:val="E46C0A" w:themeColor="accent6" w:themeShade="BF"/>
          <w:kern w:val="0"/>
          <w:sz w:val="28"/>
          <w:szCs w:val="28"/>
          <w:lang w:bidi="ar"/>
        </w:rPr>
        <w:br w:type="textWrapping"/>
      </w:r>
      <w:r>
        <w:rPr>
          <w:rFonts w:hint="eastAsia" w:ascii="黑体" w:hAnsi="黑体" w:eastAsia="黑体" w:cs="黑体"/>
          <w:kern w:val="0"/>
          <w:sz w:val="24"/>
          <w:szCs w:val="24"/>
          <w:lang w:bidi="ar"/>
        </w:rPr>
        <w:t>指企业按规定提取的存货跌价准备金。</w:t>
      </w:r>
      <w:r>
        <w:rPr>
          <w:rFonts w:ascii="宋体" w:hAnsi="宋体" w:eastAsia="宋体" w:cs="宋体"/>
          <w:kern w:val="0"/>
          <w:sz w:val="24"/>
          <w:szCs w:val="24"/>
          <w:lang w:bidi="ar"/>
        </w:rPr>
        <w:br w:type="textWrapping"/>
      </w:r>
      <w:r>
        <w:rPr>
          <w:rFonts w:ascii="宋体" w:hAnsi="宋体" w:eastAsia="宋体" w:cs="宋体"/>
          <w:kern w:val="0"/>
          <w:sz w:val="24"/>
          <w:szCs w:val="24"/>
          <w:lang w:bidi="ar"/>
        </w:rPr>
        <w:br w:type="textWrapping"/>
      </w:r>
      <w:r>
        <w:rPr>
          <w:rFonts w:ascii="宋体" w:hAnsi="宋体" w:eastAsia="宋体" w:cs="宋体"/>
          <w:b/>
          <w:bCs/>
          <w:color w:val="E46C0A" w:themeColor="accent6" w:themeShade="BF"/>
          <w:kern w:val="0"/>
          <w:sz w:val="28"/>
          <w:szCs w:val="28"/>
          <w:lang w:bidi="ar"/>
        </w:rPr>
        <w:t>35、其他支出：</w:t>
      </w:r>
      <w:r>
        <w:rPr>
          <w:rFonts w:ascii="宋体" w:hAnsi="宋体" w:eastAsia="宋体" w:cs="宋体"/>
          <w:b/>
          <w:bCs/>
          <w:color w:val="E46C0A" w:themeColor="accent6" w:themeShade="BF"/>
          <w:kern w:val="0"/>
          <w:sz w:val="28"/>
          <w:szCs w:val="28"/>
          <w:lang w:bidi="ar"/>
        </w:rPr>
        <w:br w:type="textWrapping"/>
      </w:r>
      <w:r>
        <w:rPr>
          <w:rFonts w:ascii="宋体" w:hAnsi="宋体" w:eastAsia="宋体" w:cs="宋体"/>
          <w:kern w:val="0"/>
          <w:sz w:val="24"/>
          <w:szCs w:val="24"/>
          <w:lang w:bidi="ar"/>
        </w:rPr>
        <w:br w:type="textWrapping"/>
      </w:r>
      <w:r>
        <w:rPr>
          <w:rFonts w:hint="eastAsia" w:ascii="黑体" w:hAnsi="黑体" w:eastAsia="黑体" w:cs="黑体"/>
          <w:kern w:val="0"/>
          <w:sz w:val="24"/>
          <w:szCs w:val="24"/>
          <w:lang w:bidi="ar"/>
        </w:rPr>
        <w:t xml:space="preserve">兜底项目 </w:t>
      </w:r>
    </w:p>
    <w:p>
      <w:pPr>
        <w:rPr>
          <w:rFonts w:ascii="微软雅黑" w:hAnsi="微软雅黑" w:eastAsia="微软雅黑"/>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134225" cy="3333750"/>
          <wp:effectExtent l="0" t="0" r="0" b="0"/>
          <wp:wrapNone/>
          <wp:docPr id="1" name="WordPictureWatermark31649" descr="微信图片_2019010715393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649" descr="微信图片_20190107153939_副本"/>
                  <pic:cNvPicPr>
                    <a:picLocks noChangeAspect="1"/>
                  </pic:cNvPicPr>
                </pic:nvPicPr>
                <pic:blipFill>
                  <a:blip r:embed="rId1">
                    <a:lum bright="69998" contrast="-70001"/>
                  </a:blip>
                  <a:stretch>
                    <a:fillRect/>
                  </a:stretch>
                </pic:blipFill>
                <pic:spPr>
                  <a:xfrm>
                    <a:off x="0" y="0"/>
                    <a:ext cx="7134225" cy="3333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123945" o:spid="_x0000_s2059" o:spt="75" type="#_x0000_t75" style="position:absolute;left:0pt;height:257.05pt;width:572.4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543534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123944" o:spid="_x0000_s2058" o:spt="75" type="#_x0000_t75" style="position:absolute;left:0pt;height:257.05pt;width:572.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543534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A8"/>
    <w:rsid w:val="000271A8"/>
    <w:rsid w:val="0014123B"/>
    <w:rsid w:val="00346EC1"/>
    <w:rsid w:val="005F6DEE"/>
    <w:rsid w:val="00796D4E"/>
    <w:rsid w:val="00822EF9"/>
    <w:rsid w:val="00990E45"/>
    <w:rsid w:val="00AD115D"/>
    <w:rsid w:val="34064E7E"/>
    <w:rsid w:val="79F2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331</Words>
  <Characters>1887</Characters>
  <Lines>15</Lines>
  <Paragraphs>4</Paragraphs>
  <TotalTime>1</TotalTime>
  <ScaleCrop>false</ScaleCrop>
  <LinksUpToDate>false</LinksUpToDate>
  <CharactersWithSpaces>2214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2019-03-20T02:54:00Z</dcterms:created>
  <dc:creator>微软用户</dc:creator>
  <cp:lastModifiedBy>微微</cp:lastModifiedBy>
  <dcterms:modified xsi:type="dcterms:W3CDTF">2019-11-22T00:28:42Z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